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1C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</w:p>
    <w:p w:rsidR="00C713F8" w:rsidRPr="00DB7AB5" w:rsidRDefault="00C713F8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275C1C">
        <w:rPr>
          <w:rFonts w:ascii="Times New Roman" w:hAnsi="Times New Roman"/>
          <w:b/>
          <w:color w:val="000000"/>
          <w:sz w:val="26"/>
          <w:szCs w:val="26"/>
          <w:lang w:val="ru-RU"/>
        </w:rPr>
        <w:t>Второй иностранный язык (немецкий)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275C1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605709" w:rsidRPr="00A11C52" w:rsidRDefault="00C713F8" w:rsidP="00E566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231F21"/>
          <w:sz w:val="26"/>
          <w:szCs w:val="26"/>
          <w:lang w:val="ru-RU"/>
        </w:rPr>
      </w:pPr>
      <w:proofErr w:type="gramStart"/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учебному предмету </w:t>
      </w:r>
      <w:r w:rsidR="00275C1C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«Второй иностранный язык (немецкий)» 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уровне основного общего образования составлена на основе </w:t>
      </w:r>
      <w:r w:rsidR="00E24C74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т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05709" w:rsidRPr="00A11C52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275C1C" w:rsidRPr="00A11C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75C1C" w:rsidRPr="00A11C52">
        <w:rPr>
          <w:rFonts w:ascii="Times New Roman" w:hAnsi="Times New Roman" w:cs="Times New Roman"/>
          <w:color w:val="231F21"/>
          <w:sz w:val="26"/>
          <w:szCs w:val="26"/>
          <w:lang w:val="ru-RU"/>
        </w:rPr>
        <w:t>Аверина</w:t>
      </w:r>
      <w:proofErr w:type="spellEnd"/>
      <w:r w:rsidR="00275C1C" w:rsidRPr="00A11C52">
        <w:rPr>
          <w:rFonts w:ascii="Times New Roman" w:hAnsi="Times New Roman" w:cs="Times New Roman"/>
          <w:color w:val="231F21"/>
          <w:sz w:val="26"/>
          <w:szCs w:val="26"/>
          <w:lang w:val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учреждений.</w:t>
      </w:r>
      <w:proofErr w:type="gramEnd"/>
      <w:r w:rsidR="00275C1C" w:rsidRPr="00A11C52">
        <w:rPr>
          <w:rFonts w:ascii="Times New Roman" w:hAnsi="Times New Roman" w:cs="Times New Roman"/>
          <w:color w:val="231F21"/>
          <w:sz w:val="26"/>
          <w:szCs w:val="26"/>
          <w:lang w:val="ru-RU"/>
        </w:rPr>
        <w:t xml:space="preserve"> (Москва, «Просвещение» 2019 г.)</w:t>
      </w:r>
      <w:r w:rsidR="00275C1C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C5BDB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 о рабочей программе учебных предметов, элективных курсов, внеурочной деятельности МБОУ «СОШ №21»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05709" w:rsidRDefault="00605709" w:rsidP="00275C1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ояснительн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записк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и, п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ланируемы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из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одержани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я учебного предмета, курса, т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ематическо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>я.</w:t>
      </w:r>
      <w:r w:rsidRPr="00A11C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281FCA" w:rsidRPr="00A11C52" w:rsidRDefault="00281FCA" w:rsidP="00E56685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E24C74" w:rsidRPr="00E56685" w:rsidRDefault="00E24C74" w:rsidP="00275C1C">
      <w:pPr>
        <w:spacing w:after="0" w:line="264" w:lineRule="auto"/>
        <w:ind w:firstLine="600"/>
        <w:jc w:val="both"/>
        <w:rPr>
          <w:rFonts w:ascii="Agency FB" w:hAnsi="Agency FB" w:cs="Times New Roman"/>
          <w:color w:val="000000"/>
          <w:sz w:val="26"/>
          <w:szCs w:val="26"/>
          <w:lang w:val="ru-RU"/>
        </w:rPr>
      </w:pP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направлена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достижение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целей</w:t>
      </w:r>
      <w:r w:rsidRPr="00E56685">
        <w:rPr>
          <w:rFonts w:ascii="Agency FB" w:hAnsi="Agency FB" w:cs="Times New Roman"/>
          <w:color w:val="000000"/>
          <w:sz w:val="26"/>
          <w:szCs w:val="26"/>
          <w:lang w:val="ru-RU"/>
        </w:rPr>
        <w:t>:</w:t>
      </w:r>
    </w:p>
    <w:p w:rsidR="00275C1C" w:rsidRPr="00E56685" w:rsidRDefault="00E56685" w:rsidP="00A11C52">
      <w:pPr>
        <w:tabs>
          <w:tab w:val="left" w:pos="1126"/>
        </w:tabs>
        <w:spacing w:after="0" w:line="227" w:lineRule="auto"/>
        <w:jc w:val="both"/>
        <w:rPr>
          <w:rFonts w:ascii="AngsanaUPC" w:hAnsi="AngsanaUPC" w:cs="AngsanaUPC"/>
          <w:sz w:val="26"/>
          <w:szCs w:val="26"/>
          <w:lang w:val="ru-RU"/>
        </w:rPr>
      </w:pPr>
      <w:r w:rsidRPr="00E56685">
        <w:rPr>
          <w:rFonts w:ascii="Agency FB" w:hAnsi="Agency FB" w:cs="Times New Roman"/>
          <w:sz w:val="26"/>
          <w:szCs w:val="26"/>
          <w:lang w:val="ru-RU"/>
        </w:rPr>
        <w:tab/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иноязычной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коммуникативной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компетенции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совокупности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Times New Roman"/>
          <w:sz w:val="26"/>
          <w:szCs w:val="26"/>
          <w:lang w:val="ru-RU"/>
        </w:rPr>
        <w:t>ее</w:t>
      </w:r>
      <w:r w:rsidR="00275C1C" w:rsidRPr="00E56685">
        <w:rPr>
          <w:rFonts w:ascii="Agency FB" w:hAnsi="Agency FB" w:cs="Times New Roman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составляющих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именно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:</w:t>
      </w:r>
    </w:p>
    <w:p w:rsidR="00275C1C" w:rsidRPr="00E56685" w:rsidRDefault="00275C1C" w:rsidP="00A11C52">
      <w:pPr>
        <w:spacing w:after="0" w:line="4" w:lineRule="exact"/>
        <w:jc w:val="both"/>
        <w:rPr>
          <w:rFonts w:ascii="AngsanaUPC" w:hAnsi="AngsanaUPC" w:cs="AngsanaUPC"/>
          <w:sz w:val="26"/>
          <w:szCs w:val="26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185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- </w:t>
      </w:r>
      <w:r w:rsidR="00275C1C" w:rsidRPr="00E56685">
        <w:rPr>
          <w:rFonts w:ascii="Times New Roman" w:hAnsi="Times New Roman" w:cs="AngsanaUPC"/>
          <w:iCs/>
          <w:sz w:val="26"/>
          <w:szCs w:val="26"/>
          <w:lang w:val="ru-RU"/>
        </w:rPr>
        <w:t>речевая</w:t>
      </w:r>
      <w:r w:rsidR="00275C1C"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компетенция</w:t>
      </w:r>
      <w:r w:rsidR="00275C1C"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-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коммуникативных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умений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четыр</w:t>
      </w:r>
      <w:r w:rsidR="00275C1C" w:rsidRPr="00E56685">
        <w:rPr>
          <w:rFonts w:ascii="Times New Roman" w:hAnsi="Times New Roman" w:cs="AngsanaUPC"/>
          <w:sz w:val="26"/>
          <w:szCs w:val="26"/>
          <w:lang w:val="ru-RU" w:bidi="th-TH"/>
        </w:rPr>
        <w:t>ё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основных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видах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речевой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деятельности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(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говорении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proofErr w:type="spellStart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аудировании</w:t>
      </w:r>
      <w:proofErr w:type="spellEnd"/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чтении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письме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);</w:t>
      </w:r>
    </w:p>
    <w:p w:rsidR="00275C1C" w:rsidRPr="00E56685" w:rsidRDefault="00275C1C" w:rsidP="006878FA">
      <w:pPr>
        <w:spacing w:after="0" w:line="12" w:lineRule="exact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200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- </w:t>
      </w:r>
      <w:r w:rsidR="00275C1C" w:rsidRPr="00E56685">
        <w:rPr>
          <w:rFonts w:ascii="Times New Roman" w:hAnsi="Times New Roman" w:cs="AngsanaUPC"/>
          <w:iCs/>
          <w:sz w:val="26"/>
          <w:szCs w:val="26"/>
          <w:lang w:val="ru-RU"/>
        </w:rPr>
        <w:t>языковая</w:t>
      </w:r>
      <w:r w:rsidR="00275C1C"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компетенция</w:t>
      </w:r>
      <w:r w:rsidR="00275C1C"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-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овладение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языковыми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средствами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(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фонетическими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орфографическими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лексическими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грамматическими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)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соответствии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темами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ситуациями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общения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отобранными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для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основной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школы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;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освоение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знаний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языковых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явлениях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изучаемого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способах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выражения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мысли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родном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иностранном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;</w:t>
      </w:r>
    </w:p>
    <w:p w:rsidR="00275C1C" w:rsidRPr="00E56685" w:rsidRDefault="00275C1C" w:rsidP="006878FA">
      <w:pPr>
        <w:spacing w:after="0" w:line="16" w:lineRule="exact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180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- </w:t>
      </w:r>
      <w:proofErr w:type="spellStart"/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социокультурная</w:t>
      </w:r>
      <w:proofErr w:type="spellEnd"/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компетенция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-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приобщение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культуре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традициям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реалиям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стран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/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страны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изучаемого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рамках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тем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сфер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ситуаций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общения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отвечающих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опыту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интересам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,</w:t>
      </w:r>
    </w:p>
    <w:p w:rsidR="00275C1C" w:rsidRPr="00E56685" w:rsidRDefault="00275C1C" w:rsidP="006878FA">
      <w:pPr>
        <w:spacing w:after="0" w:line="14" w:lineRule="exact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180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- 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компенсаторная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компетенция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-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умений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выходить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из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положения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условиях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дефицита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языковых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сре</w:t>
      </w:r>
      <w:proofErr w:type="gramStart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дств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пр</w:t>
      </w:r>
      <w:proofErr w:type="gramEnd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получении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передаче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информации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;</w:t>
      </w:r>
    </w:p>
    <w:p w:rsidR="00275C1C" w:rsidRPr="00E56685" w:rsidRDefault="00275C1C" w:rsidP="006878FA">
      <w:pPr>
        <w:spacing w:after="0" w:line="13" w:lineRule="exact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193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- </w:t>
      </w:r>
      <w:r w:rsidR="00275C1C" w:rsidRPr="00E56685">
        <w:rPr>
          <w:rFonts w:ascii="Times New Roman" w:hAnsi="Times New Roman" w:cs="AngsanaUPC"/>
          <w:iCs/>
          <w:sz w:val="26"/>
          <w:szCs w:val="26"/>
          <w:lang w:val="ru-RU"/>
        </w:rPr>
        <w:t>уч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ебно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>-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познавательная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iCs/>
          <w:sz w:val="26"/>
          <w:szCs w:val="26"/>
          <w:lang w:val="ru-RU"/>
        </w:rPr>
        <w:t>компетенция</w:t>
      </w:r>
      <w:r w:rsidRPr="00E56685">
        <w:rPr>
          <w:rFonts w:ascii="AngsanaUPC" w:hAnsi="AngsanaUPC" w:cs="AngsanaUPC"/>
          <w:iCs/>
          <w:sz w:val="26"/>
          <w:szCs w:val="26"/>
          <w:lang w:val="ru-RU"/>
        </w:rPr>
        <w:t xml:space="preserve"> - 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дальнейшее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общих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специальных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учебных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умений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универсальных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способов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деятельности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;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ознакомление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доступными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учащимся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способами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proofErr w:type="gramStart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при</w:t>
      </w:r>
      <w:r w:rsidR="00275C1C" w:rsidRPr="00E56685">
        <w:rPr>
          <w:rFonts w:ascii="AngsanaUPC" w:hAnsi="Times New Roman" w:cs="AngsanaUPC"/>
          <w:sz w:val="26"/>
          <w:szCs w:val="26"/>
          <w:lang w:val="ru-RU" w:bidi="th-TH"/>
        </w:rPr>
        <w:t>ѐ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мами</w:t>
      </w:r>
      <w:proofErr w:type="gramEnd"/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самостоятельного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изучения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языков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культур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том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числе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использованием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новых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информационных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технологий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;</w:t>
      </w:r>
    </w:p>
    <w:p w:rsidR="00275C1C" w:rsidRPr="00E56685" w:rsidRDefault="00275C1C" w:rsidP="006878FA">
      <w:pPr>
        <w:spacing w:after="0" w:line="5" w:lineRule="exact"/>
        <w:jc w:val="both"/>
        <w:rPr>
          <w:rFonts w:ascii="AngsanaUPC" w:hAnsi="AngsanaUPC" w:cs="AngsanaUPC"/>
          <w:sz w:val="26"/>
          <w:szCs w:val="26"/>
          <w:lang w:val="ru-RU"/>
        </w:rPr>
      </w:pPr>
    </w:p>
    <w:p w:rsidR="00275C1C" w:rsidRPr="00E56685" w:rsidRDefault="00275C1C" w:rsidP="006878FA">
      <w:pPr>
        <w:spacing w:after="0" w:line="237" w:lineRule="auto"/>
        <w:ind w:left="358"/>
        <w:jc w:val="both"/>
        <w:rPr>
          <w:rFonts w:ascii="AngsanaUPC" w:hAnsi="AngsanaUPC" w:cs="AngsanaUPC"/>
          <w:sz w:val="26"/>
          <w:szCs w:val="26"/>
          <w:lang w:val="ru-RU"/>
        </w:rPr>
      </w:pPr>
      <w:r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личности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учащихся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посредством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реализации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воспитательного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потенциала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изучаемого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иностранного</w:t>
      </w:r>
      <w:r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AngsanaUPC"/>
          <w:sz w:val="26"/>
          <w:szCs w:val="26"/>
          <w:lang w:val="ru-RU"/>
        </w:rPr>
        <w:t>языка</w:t>
      </w:r>
      <w:r w:rsidRPr="00E56685">
        <w:rPr>
          <w:rFonts w:ascii="AngsanaUPC" w:hAnsi="AngsanaUPC" w:cs="AngsanaUPC"/>
          <w:sz w:val="26"/>
          <w:szCs w:val="26"/>
          <w:lang w:val="ru-RU"/>
        </w:rPr>
        <w:t>:</w:t>
      </w:r>
    </w:p>
    <w:p w:rsidR="00275C1C" w:rsidRPr="00E56685" w:rsidRDefault="00275C1C" w:rsidP="006878FA">
      <w:pPr>
        <w:spacing w:after="0" w:line="14" w:lineRule="exact"/>
        <w:jc w:val="both"/>
        <w:rPr>
          <w:rFonts w:ascii="AngsanaUPC" w:hAnsi="AngsanaUPC" w:cs="AngsanaUPC"/>
          <w:sz w:val="26"/>
          <w:szCs w:val="26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200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sz w:val="26"/>
          <w:szCs w:val="26"/>
          <w:lang w:val="ru-RU"/>
        </w:rPr>
        <w:t xml:space="preserve">-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формирование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общекультурной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этнической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идентичности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личности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как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составляющих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гражданской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идентичности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личности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;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воспитание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каче</w:t>
      </w:r>
      <w:proofErr w:type="gramStart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ств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гр</w:t>
      </w:r>
      <w:proofErr w:type="gramEnd"/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ажданина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патриота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;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национального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самосознания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стремления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взаимопониманию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между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людьми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разных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сообществ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,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толерантного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отношения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проявлениям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культуры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;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лучшее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осознание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своей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собственной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культуры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>;</w:t>
      </w:r>
    </w:p>
    <w:p w:rsidR="00275C1C" w:rsidRPr="00E56685" w:rsidRDefault="00275C1C" w:rsidP="006878FA">
      <w:pPr>
        <w:spacing w:after="0" w:line="16" w:lineRule="exact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</w:p>
    <w:p w:rsidR="00275C1C" w:rsidRPr="00E56685" w:rsidRDefault="00A11C52" w:rsidP="006878FA">
      <w:pPr>
        <w:tabs>
          <w:tab w:val="left" w:pos="358"/>
        </w:tabs>
        <w:spacing w:after="0" w:line="180" w:lineRule="auto"/>
        <w:jc w:val="both"/>
        <w:rPr>
          <w:rFonts w:ascii="AngsanaUPC" w:hAnsi="AngsanaUPC" w:cs="AngsanaUPC"/>
          <w:sz w:val="26"/>
          <w:szCs w:val="26"/>
          <w:vertAlign w:val="superscript"/>
          <w:lang w:val="ru-RU"/>
        </w:rPr>
      </w:pPr>
      <w:r w:rsidRPr="00E56685">
        <w:rPr>
          <w:rFonts w:ascii="AngsanaUPC" w:hAnsi="AngsanaUPC" w:cs="AngsanaUPC"/>
          <w:sz w:val="26"/>
          <w:szCs w:val="26"/>
          <w:lang w:val="ru-RU"/>
        </w:rPr>
        <w:tab/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развитие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стремления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овладению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основами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мировой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культуры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средствами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иностранного</w:t>
      </w:r>
      <w:r w:rsidR="00275C1C" w:rsidRPr="00E56685">
        <w:rPr>
          <w:rFonts w:ascii="AngsanaUPC" w:hAnsi="AngsanaUPC" w:cs="AngsanaUPC"/>
          <w:sz w:val="26"/>
          <w:szCs w:val="26"/>
          <w:lang w:val="ru-RU"/>
        </w:rPr>
        <w:t xml:space="preserve"> </w:t>
      </w:r>
      <w:r w:rsidR="00275C1C" w:rsidRPr="00E56685">
        <w:rPr>
          <w:rFonts w:ascii="Times New Roman" w:hAnsi="Times New Roman" w:cs="AngsanaUPC"/>
          <w:sz w:val="26"/>
          <w:szCs w:val="26"/>
          <w:lang w:val="ru-RU"/>
        </w:rPr>
        <w:t>языка</w:t>
      </w:r>
      <w:r w:rsidR="00E56685" w:rsidRPr="00E56685">
        <w:rPr>
          <w:rFonts w:ascii="AngsanaUPC" w:hAnsi="AngsanaUPC" w:cs="AngsanaUPC"/>
          <w:sz w:val="26"/>
          <w:szCs w:val="26"/>
          <w:lang w:val="ru-RU"/>
        </w:rPr>
        <w:t>.</w:t>
      </w:r>
    </w:p>
    <w:p w:rsidR="00281FCA" w:rsidRDefault="00281FCA" w:rsidP="00281FCA">
      <w:pPr>
        <w:spacing w:after="0" w:line="264" w:lineRule="auto"/>
        <w:ind w:left="120"/>
        <w:jc w:val="both"/>
        <w:rPr>
          <w:lang w:val="ru-RU"/>
        </w:rPr>
      </w:pPr>
    </w:p>
    <w:p w:rsidR="00E56685" w:rsidRPr="00747608" w:rsidRDefault="00E56685" w:rsidP="00281FCA">
      <w:pPr>
        <w:spacing w:after="0" w:line="264" w:lineRule="auto"/>
        <w:ind w:left="120"/>
        <w:jc w:val="both"/>
        <w:rPr>
          <w:lang w:val="ru-RU"/>
        </w:rPr>
      </w:pPr>
    </w:p>
    <w:p w:rsidR="00281FCA" w:rsidRPr="00E56685" w:rsidRDefault="00281FCA" w:rsidP="00281FCA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  <w:r w:rsidRPr="00E56685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Место учебного предмета в учебном плане</w:t>
      </w:r>
    </w:p>
    <w:p w:rsidR="00A11C52" w:rsidRPr="00E56685" w:rsidRDefault="00A11C52" w:rsidP="00E56685">
      <w:pPr>
        <w:pStyle w:val="a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11C52" w:rsidRPr="00E56685" w:rsidRDefault="00A11C52" w:rsidP="00E56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6685">
        <w:rPr>
          <w:rFonts w:ascii="Times New Roman" w:hAnsi="Times New Roman" w:cs="Times New Roman"/>
          <w:sz w:val="26"/>
          <w:szCs w:val="26"/>
          <w:lang w:val="ru-RU"/>
        </w:rPr>
        <w:t>Предмет «Второй иностранный язык (немецкий язык) относится к предметной</w:t>
      </w:r>
      <w:r w:rsidR="00E566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sz w:val="26"/>
          <w:szCs w:val="26"/>
          <w:lang w:val="ru-RU"/>
        </w:rPr>
        <w:t xml:space="preserve">области «Иностранные языки» и предусматривает следующий объем </w:t>
      </w:r>
      <w:r w:rsidR="00E566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sz w:val="26"/>
          <w:szCs w:val="26"/>
          <w:lang w:val="ru-RU"/>
        </w:rPr>
        <w:t>недельной учебной</w:t>
      </w:r>
      <w:r w:rsidR="00E566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6685">
        <w:rPr>
          <w:rFonts w:ascii="Times New Roman" w:hAnsi="Times New Roman" w:cs="Times New Roman"/>
          <w:sz w:val="26"/>
          <w:szCs w:val="26"/>
          <w:lang w:val="ru-RU"/>
        </w:rPr>
        <w:t xml:space="preserve">нагрузки: 34 часа в </w:t>
      </w:r>
      <w:r w:rsidR="006878FA">
        <w:rPr>
          <w:rFonts w:ascii="Times New Roman" w:hAnsi="Times New Roman" w:cs="Times New Roman"/>
          <w:sz w:val="26"/>
          <w:szCs w:val="26"/>
          <w:lang w:val="ru-RU"/>
        </w:rPr>
        <w:t xml:space="preserve">5, </w:t>
      </w:r>
      <w:r w:rsidRPr="00E56685">
        <w:rPr>
          <w:rFonts w:ascii="Times New Roman" w:hAnsi="Times New Roman" w:cs="Times New Roman"/>
          <w:sz w:val="26"/>
          <w:szCs w:val="26"/>
          <w:lang w:val="ru-RU"/>
        </w:rPr>
        <w:t>6, 7, 8, 9 классах (1 час в неделю, 34 учебных недел</w:t>
      </w:r>
      <w:r w:rsidR="00E5668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56685">
        <w:rPr>
          <w:rFonts w:ascii="Times New Roman" w:hAnsi="Times New Roman" w:cs="Times New Roman"/>
          <w:sz w:val="26"/>
          <w:szCs w:val="26"/>
          <w:lang w:val="ru-RU"/>
        </w:rPr>
        <w:t xml:space="preserve"> в каждом классе).</w:t>
      </w:r>
    </w:p>
    <w:p w:rsidR="00A11C52" w:rsidRPr="00E56685" w:rsidRDefault="00281FCA" w:rsidP="00352713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E5668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Учебно-методическое обеспечение образовательного процесса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>Учебники «Немецкий язык» для 6—9 классов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878FA">
        <w:rPr>
          <w:rFonts w:ascii="Times New Roman" w:hAnsi="Times New Roman" w:cs="Times New Roman"/>
          <w:sz w:val="26"/>
          <w:szCs w:val="26"/>
          <w:lang w:val="ru-RU"/>
        </w:rPr>
        <w:t>(серия «Горизонты»)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Аверин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М. М., Джин Ф., </w:t>
      </w: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Рорман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Л. УМК</w:t>
      </w:r>
      <w:proofErr w:type="gramStart"/>
      <w:r w:rsidRPr="006878FA">
        <w:rPr>
          <w:rFonts w:ascii="Times New Roman" w:hAnsi="Times New Roman" w:cs="Times New Roman"/>
          <w:sz w:val="26"/>
          <w:szCs w:val="26"/>
          <w:lang w:val="ru-RU"/>
        </w:rPr>
        <w:t>«Н</w:t>
      </w:r>
      <w:proofErr w:type="gramEnd"/>
      <w:r w:rsidRPr="006878FA">
        <w:rPr>
          <w:rFonts w:ascii="Times New Roman" w:hAnsi="Times New Roman" w:cs="Times New Roman"/>
          <w:sz w:val="26"/>
          <w:szCs w:val="26"/>
          <w:lang w:val="ru-RU"/>
        </w:rPr>
        <w:t>емецкий язык» для 5 класса. — М.: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Просвещение, 2019.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Аверин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М. М., Джин Ф., </w:t>
      </w: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Рорман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Л. УМК «Немецкий язык» для 6 класса. — М.: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>Просвещение, 2019;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Аверин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М. М., Джин Ф., </w:t>
      </w: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Рорман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Л. УМК «Немецкий язык» для 7 класса. — М.: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>Просвещение, 2019.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Аверин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М. М., Джин Ф., </w:t>
      </w: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Рорман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Л. УМК «Немецкий язык» для 8 класса. — М.: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>Просвещение, 2019.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Аверин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М. М., Джин Ф., </w:t>
      </w:r>
      <w:proofErr w:type="spellStart"/>
      <w:r w:rsidRPr="006878FA">
        <w:rPr>
          <w:rFonts w:ascii="Times New Roman" w:hAnsi="Times New Roman" w:cs="Times New Roman"/>
          <w:sz w:val="26"/>
          <w:szCs w:val="26"/>
          <w:lang w:val="ru-RU"/>
        </w:rPr>
        <w:t>Рорман</w:t>
      </w:r>
      <w:proofErr w:type="spellEnd"/>
      <w:r w:rsidRPr="006878FA">
        <w:rPr>
          <w:rFonts w:ascii="Times New Roman" w:hAnsi="Times New Roman" w:cs="Times New Roman"/>
          <w:sz w:val="26"/>
          <w:szCs w:val="26"/>
          <w:lang w:val="ru-RU"/>
        </w:rPr>
        <w:t xml:space="preserve"> Л. УМК «Немецкий язык» для 9 класса. — М.:</w:t>
      </w:r>
    </w:p>
    <w:p w:rsidR="006878FA" w:rsidRPr="006878FA" w:rsidRDefault="006878FA" w:rsidP="0068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878FA">
        <w:rPr>
          <w:rFonts w:ascii="Times New Roman" w:hAnsi="Times New Roman" w:cs="Times New Roman"/>
          <w:sz w:val="26"/>
          <w:szCs w:val="26"/>
          <w:lang w:val="ru-RU"/>
        </w:rPr>
        <w:t>Просвещение, 2019.</w:t>
      </w:r>
    </w:p>
    <w:p w:rsidR="00281FCA" w:rsidRPr="00E56685" w:rsidRDefault="00281FCA" w:rsidP="00352713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E56685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</w:t>
      </w:r>
    </w:p>
    <w:p w:rsidR="00DB7AB5" w:rsidRPr="00E56685" w:rsidRDefault="00DB7AB5" w:rsidP="00281FCA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 w:rsidR="00A51141" w:rsidRPr="00281FCA" w:rsidRDefault="00281FCA" w:rsidP="0028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56685">
        <w:rPr>
          <w:rFonts w:ascii="Times New Roman" w:hAnsi="Times New Roman" w:cs="Times New Roman"/>
          <w:sz w:val="26"/>
          <w:szCs w:val="26"/>
          <w:lang w:val="ru-RU"/>
        </w:rPr>
        <w:t>Сайт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ресурсов  http://www.prosv.ru/umk/horizonte</w:t>
      </w:r>
    </w:p>
    <w:sectPr w:rsidR="00A51141" w:rsidRPr="00281FC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09DEDC68">
      <w:start w:val="1"/>
      <w:numFmt w:val="bullet"/>
      <w:lvlText w:val=""/>
      <w:lvlJc w:val="left"/>
    </w:lvl>
    <w:lvl w:ilvl="1" w:tplc="16D6948C">
      <w:numFmt w:val="decimal"/>
      <w:lvlText w:val=""/>
      <w:lvlJc w:val="left"/>
      <w:rPr>
        <w:rFonts w:cs="Times New Roman"/>
      </w:rPr>
    </w:lvl>
    <w:lvl w:ilvl="2" w:tplc="529EED1A">
      <w:numFmt w:val="decimal"/>
      <w:lvlText w:val=""/>
      <w:lvlJc w:val="left"/>
      <w:rPr>
        <w:rFonts w:cs="Times New Roman"/>
      </w:rPr>
    </w:lvl>
    <w:lvl w:ilvl="3" w:tplc="AD6223B6">
      <w:numFmt w:val="decimal"/>
      <w:lvlText w:val=""/>
      <w:lvlJc w:val="left"/>
      <w:rPr>
        <w:rFonts w:cs="Times New Roman"/>
      </w:rPr>
    </w:lvl>
    <w:lvl w:ilvl="4" w:tplc="6C74F55E">
      <w:numFmt w:val="decimal"/>
      <w:lvlText w:val=""/>
      <w:lvlJc w:val="left"/>
      <w:rPr>
        <w:rFonts w:cs="Times New Roman"/>
      </w:rPr>
    </w:lvl>
    <w:lvl w:ilvl="5" w:tplc="B4E2DCCE">
      <w:numFmt w:val="decimal"/>
      <w:lvlText w:val=""/>
      <w:lvlJc w:val="left"/>
      <w:rPr>
        <w:rFonts w:cs="Times New Roman"/>
      </w:rPr>
    </w:lvl>
    <w:lvl w:ilvl="6" w:tplc="45BEE098">
      <w:numFmt w:val="decimal"/>
      <w:lvlText w:val=""/>
      <w:lvlJc w:val="left"/>
      <w:rPr>
        <w:rFonts w:cs="Times New Roman"/>
      </w:rPr>
    </w:lvl>
    <w:lvl w:ilvl="7" w:tplc="DD383018">
      <w:numFmt w:val="decimal"/>
      <w:lvlText w:val=""/>
      <w:lvlJc w:val="left"/>
      <w:rPr>
        <w:rFonts w:cs="Times New Roman"/>
      </w:rPr>
    </w:lvl>
    <w:lvl w:ilvl="8" w:tplc="77F67B8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FFFFFFFF"/>
    <w:lvl w:ilvl="0" w:tplc="39A4B67C">
      <w:start w:val="1"/>
      <w:numFmt w:val="bullet"/>
      <w:lvlText w:val=""/>
      <w:lvlJc w:val="left"/>
    </w:lvl>
    <w:lvl w:ilvl="1" w:tplc="2EBEBC66">
      <w:numFmt w:val="decimal"/>
      <w:lvlText w:val=""/>
      <w:lvlJc w:val="left"/>
      <w:rPr>
        <w:rFonts w:cs="Times New Roman"/>
      </w:rPr>
    </w:lvl>
    <w:lvl w:ilvl="2" w:tplc="3CF272D8">
      <w:numFmt w:val="decimal"/>
      <w:lvlText w:val=""/>
      <w:lvlJc w:val="left"/>
      <w:rPr>
        <w:rFonts w:cs="Times New Roman"/>
      </w:rPr>
    </w:lvl>
    <w:lvl w:ilvl="3" w:tplc="5D201F16">
      <w:numFmt w:val="decimal"/>
      <w:lvlText w:val=""/>
      <w:lvlJc w:val="left"/>
      <w:rPr>
        <w:rFonts w:cs="Times New Roman"/>
      </w:rPr>
    </w:lvl>
    <w:lvl w:ilvl="4" w:tplc="EAF8DC0A">
      <w:numFmt w:val="decimal"/>
      <w:lvlText w:val=""/>
      <w:lvlJc w:val="left"/>
      <w:rPr>
        <w:rFonts w:cs="Times New Roman"/>
      </w:rPr>
    </w:lvl>
    <w:lvl w:ilvl="5" w:tplc="148C8A9A">
      <w:numFmt w:val="decimal"/>
      <w:lvlText w:val=""/>
      <w:lvlJc w:val="left"/>
      <w:rPr>
        <w:rFonts w:cs="Times New Roman"/>
      </w:rPr>
    </w:lvl>
    <w:lvl w:ilvl="6" w:tplc="B10493CA">
      <w:numFmt w:val="decimal"/>
      <w:lvlText w:val=""/>
      <w:lvlJc w:val="left"/>
      <w:rPr>
        <w:rFonts w:cs="Times New Roman"/>
      </w:rPr>
    </w:lvl>
    <w:lvl w:ilvl="7" w:tplc="2CD0AE3A">
      <w:numFmt w:val="decimal"/>
      <w:lvlText w:val=""/>
      <w:lvlJc w:val="left"/>
      <w:rPr>
        <w:rFonts w:cs="Times New Roman"/>
      </w:rPr>
    </w:lvl>
    <w:lvl w:ilvl="8" w:tplc="948A188A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FFFFFFFF"/>
    <w:lvl w:ilvl="0" w:tplc="A738A994">
      <w:start w:val="1"/>
      <w:numFmt w:val="bullet"/>
      <w:lvlText w:val=""/>
      <w:lvlJc w:val="left"/>
    </w:lvl>
    <w:lvl w:ilvl="1" w:tplc="276E059E">
      <w:start w:val="1"/>
      <w:numFmt w:val="bullet"/>
      <w:lvlText w:val="в"/>
      <w:lvlJc w:val="left"/>
    </w:lvl>
    <w:lvl w:ilvl="2" w:tplc="DB1AF58C">
      <w:start w:val="1"/>
      <w:numFmt w:val="bullet"/>
      <w:lvlText w:val=""/>
      <w:lvlJc w:val="left"/>
    </w:lvl>
    <w:lvl w:ilvl="3" w:tplc="BAB8DD16">
      <w:numFmt w:val="decimal"/>
      <w:lvlText w:val=""/>
      <w:lvlJc w:val="left"/>
      <w:rPr>
        <w:rFonts w:cs="Times New Roman"/>
      </w:rPr>
    </w:lvl>
    <w:lvl w:ilvl="4" w:tplc="358A3F30">
      <w:numFmt w:val="decimal"/>
      <w:lvlText w:val=""/>
      <w:lvlJc w:val="left"/>
      <w:rPr>
        <w:rFonts w:cs="Times New Roman"/>
      </w:rPr>
    </w:lvl>
    <w:lvl w:ilvl="5" w:tplc="819A7CCA">
      <w:numFmt w:val="decimal"/>
      <w:lvlText w:val=""/>
      <w:lvlJc w:val="left"/>
      <w:rPr>
        <w:rFonts w:cs="Times New Roman"/>
      </w:rPr>
    </w:lvl>
    <w:lvl w:ilvl="6" w:tplc="D3BC70E2">
      <w:numFmt w:val="decimal"/>
      <w:lvlText w:val=""/>
      <w:lvlJc w:val="left"/>
      <w:rPr>
        <w:rFonts w:cs="Times New Roman"/>
      </w:rPr>
    </w:lvl>
    <w:lvl w:ilvl="7" w:tplc="E662D830">
      <w:numFmt w:val="decimal"/>
      <w:lvlText w:val=""/>
      <w:lvlJc w:val="left"/>
      <w:rPr>
        <w:rFonts w:cs="Times New Roman"/>
      </w:rPr>
    </w:lvl>
    <w:lvl w:ilvl="8" w:tplc="65A00EE0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FFFFFFFF"/>
    <w:lvl w:ilvl="0" w:tplc="ADCE2A26">
      <w:start w:val="1"/>
      <w:numFmt w:val="bullet"/>
      <w:lvlText w:val=""/>
      <w:lvlJc w:val="left"/>
    </w:lvl>
    <w:lvl w:ilvl="1" w:tplc="6CA221BC">
      <w:start w:val="1"/>
      <w:numFmt w:val="bullet"/>
      <w:lvlText w:val="В"/>
      <w:lvlJc w:val="left"/>
    </w:lvl>
    <w:lvl w:ilvl="2" w:tplc="91A011AE">
      <w:numFmt w:val="decimal"/>
      <w:lvlText w:val=""/>
      <w:lvlJc w:val="left"/>
      <w:rPr>
        <w:rFonts w:cs="Times New Roman"/>
      </w:rPr>
    </w:lvl>
    <w:lvl w:ilvl="3" w:tplc="BA20CDA0">
      <w:numFmt w:val="decimal"/>
      <w:lvlText w:val=""/>
      <w:lvlJc w:val="left"/>
      <w:rPr>
        <w:rFonts w:cs="Times New Roman"/>
      </w:rPr>
    </w:lvl>
    <w:lvl w:ilvl="4" w:tplc="0CA6ADDA">
      <w:numFmt w:val="decimal"/>
      <w:lvlText w:val=""/>
      <w:lvlJc w:val="left"/>
      <w:rPr>
        <w:rFonts w:cs="Times New Roman"/>
      </w:rPr>
    </w:lvl>
    <w:lvl w:ilvl="5" w:tplc="37A8B9C2">
      <w:numFmt w:val="decimal"/>
      <w:lvlText w:val=""/>
      <w:lvlJc w:val="left"/>
      <w:rPr>
        <w:rFonts w:cs="Times New Roman"/>
      </w:rPr>
    </w:lvl>
    <w:lvl w:ilvl="6" w:tplc="E5963226">
      <w:numFmt w:val="decimal"/>
      <w:lvlText w:val=""/>
      <w:lvlJc w:val="left"/>
      <w:rPr>
        <w:rFonts w:cs="Times New Roman"/>
      </w:rPr>
    </w:lvl>
    <w:lvl w:ilvl="7" w:tplc="38440C7A">
      <w:numFmt w:val="decimal"/>
      <w:lvlText w:val=""/>
      <w:lvlJc w:val="left"/>
      <w:rPr>
        <w:rFonts w:cs="Times New Roman"/>
      </w:rPr>
    </w:lvl>
    <w:lvl w:ilvl="8" w:tplc="1250EDE2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9A"/>
    <w:rsid w:val="00082FC8"/>
    <w:rsid w:val="001A5F91"/>
    <w:rsid w:val="00275C1C"/>
    <w:rsid w:val="00281FCA"/>
    <w:rsid w:val="00352713"/>
    <w:rsid w:val="00605709"/>
    <w:rsid w:val="006878FA"/>
    <w:rsid w:val="006C5BDB"/>
    <w:rsid w:val="00963DDC"/>
    <w:rsid w:val="00A11C52"/>
    <w:rsid w:val="00A51141"/>
    <w:rsid w:val="00C11A9A"/>
    <w:rsid w:val="00C713F8"/>
    <w:rsid w:val="00C8572C"/>
    <w:rsid w:val="00D01187"/>
    <w:rsid w:val="00DB7AB5"/>
    <w:rsid w:val="00E24C74"/>
    <w:rsid w:val="00E5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Марина</cp:lastModifiedBy>
  <cp:revision>4</cp:revision>
  <dcterms:created xsi:type="dcterms:W3CDTF">2023-09-27T04:55:00Z</dcterms:created>
  <dcterms:modified xsi:type="dcterms:W3CDTF">2023-09-27T19:45:00Z</dcterms:modified>
</cp:coreProperties>
</file>